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182E" w14:textId="4B33B486" w:rsidR="00C56BEC" w:rsidRDefault="00C56BEC" w:rsidP="00A12D12"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737CF5" wp14:editId="3F4C916E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43800" cy="2619375"/>
                <wp:effectExtent l="0" t="0" r="0" b="9525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619375"/>
                        </a:xfrm>
                        <a:prstGeom prst="rect">
                          <a:avLst/>
                        </a:prstGeom>
                        <a:solidFill>
                          <a:srgbClr val="70D4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D9295" w14:textId="0303A1BC" w:rsidR="00AF7C48" w:rsidRPr="00C56BEC" w:rsidRDefault="00C15B87" w:rsidP="001C1071">
                            <w:pPr>
                              <w:spacing w:before="720"/>
                              <w:ind w:left="567" w:right="2835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15B8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Анализ работ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C15B8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и моделирование компетенций</w:t>
                            </w:r>
                            <w:r w:rsidR="00A87D23" w:rsidRPr="00C56BEC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C15B87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Job Analysis and Competency Design (JACD</w:t>
                            </w:r>
                            <w:r w:rsidR="003E1E2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80B65DD" w14:textId="520C55E7" w:rsidR="001C1071" w:rsidRPr="007B1520" w:rsidRDefault="00C56BEC" w:rsidP="001C1071">
                            <w:pPr>
                              <w:spacing w:before="480" w:after="60"/>
                              <w:ind w:left="567" w:right="283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Консультационный семинар</w:t>
                            </w:r>
                          </w:p>
                          <w:p w14:paraId="4B9A601A" w14:textId="50339980" w:rsidR="00A87D23" w:rsidRPr="007B1520" w:rsidRDefault="00A87D23" w:rsidP="001C1071">
                            <w:pPr>
                              <w:ind w:left="567" w:right="2835"/>
                              <w:rPr>
                                <w:color w:val="FFFFFF" w:themeColor="background1"/>
                              </w:rPr>
                            </w:pPr>
                            <w:r w:rsidRPr="007B1520">
                              <w:rPr>
                                <w:color w:val="FFFFFF" w:themeColor="background1"/>
                              </w:rPr>
                              <w:t>Продолжительность</w:t>
                            </w:r>
                            <w:r w:rsidR="00C56BEC"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Pr="007B152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342DAF">
                              <w:rPr>
                                <w:color w:val="FFFFFF" w:themeColor="background1"/>
                              </w:rP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37CF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594pt;height:20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" fillcolor="#70d44b" stroked="f">
                <v:textbox>
                  <w:txbxContent>
                    <w:p w14:paraId="227D9295" w14:textId="0303A1BC" w:rsidR="00AF7C48" w:rsidRPr="00C56BEC" w:rsidRDefault="00C15B87" w:rsidP="001C1071">
                      <w:pPr>
                        <w:spacing w:before="720"/>
                        <w:ind w:left="567" w:right="2835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15B8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Анализ работ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C15B8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и моделирование компетенций</w:t>
                      </w:r>
                      <w:r w:rsidR="00A87D23" w:rsidRPr="00C56BEC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C15B87">
                        <w:rPr>
                          <w:color w:val="FFFFFF" w:themeColor="background1"/>
                          <w:sz w:val="36"/>
                          <w:szCs w:val="36"/>
                        </w:rPr>
                        <w:t>Job Analysis and Competency Design (JACD</w:t>
                      </w:r>
                      <w:r w:rsidR="003E1E2E">
                        <w:rPr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  <w:p w14:paraId="580B65DD" w14:textId="520C55E7" w:rsidR="001C1071" w:rsidRPr="007B1520" w:rsidRDefault="00C56BEC" w:rsidP="001C1071">
                      <w:pPr>
                        <w:spacing w:before="480" w:after="60"/>
                        <w:ind w:left="567" w:right="2835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Консультационный семинар</w:t>
                      </w:r>
                    </w:p>
                    <w:p w14:paraId="4B9A601A" w14:textId="50339980" w:rsidR="00A87D23" w:rsidRPr="007B1520" w:rsidRDefault="00A87D23" w:rsidP="001C1071">
                      <w:pPr>
                        <w:ind w:left="567" w:right="2835"/>
                        <w:rPr>
                          <w:color w:val="FFFFFF" w:themeColor="background1"/>
                        </w:rPr>
                      </w:pPr>
                      <w:r w:rsidRPr="007B1520">
                        <w:rPr>
                          <w:color w:val="FFFFFF" w:themeColor="background1"/>
                        </w:rPr>
                        <w:t>Продолжительность</w:t>
                      </w:r>
                      <w:r w:rsidR="00C56BEC">
                        <w:rPr>
                          <w:color w:val="FFFFFF" w:themeColor="background1"/>
                        </w:rPr>
                        <w:t>:</w:t>
                      </w:r>
                      <w:r w:rsidRPr="007B1520">
                        <w:rPr>
                          <w:color w:val="FFFFFF" w:themeColor="background1"/>
                        </w:rPr>
                        <w:t xml:space="preserve"> </w:t>
                      </w:r>
                      <w:r w:rsidR="00342DAF">
                        <w:rPr>
                          <w:color w:val="FFFFFF" w:themeColor="background1"/>
                        </w:rPr>
                        <w:t>3 дня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2C8953" w14:textId="542AC187" w:rsidR="00A12D12" w:rsidRDefault="00A87D23" w:rsidP="00C56BEC">
      <w:pPr>
        <w:pStyle w:val="1"/>
      </w:pPr>
      <w:r w:rsidRPr="00AA1647">
        <w:rPr>
          <w:color w:val="515D65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9C3E975" wp14:editId="4F42BA38">
            <wp:simplePos x="0" y="0"/>
            <wp:positionH relativeFrom="margin">
              <wp:posOffset>5086350</wp:posOffset>
            </wp:positionH>
            <wp:positionV relativeFrom="margin">
              <wp:posOffset>361315</wp:posOffset>
            </wp:positionV>
            <wp:extent cx="1679575" cy="167957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BEC">
        <w:t>Для кого предназначен семинар?</w:t>
      </w:r>
    </w:p>
    <w:p w14:paraId="35D6C14C" w14:textId="05CD7839" w:rsidR="00C56BEC" w:rsidRDefault="00C15B87" w:rsidP="00342DAF">
      <w:pPr>
        <w:pStyle w:val="1"/>
        <w:rPr>
          <w:b w:val="0"/>
          <w:bCs w:val="0"/>
          <w:color w:val="auto"/>
          <w:sz w:val="22"/>
          <w:szCs w:val="22"/>
        </w:rPr>
      </w:pPr>
      <w:r w:rsidRPr="00C15B87">
        <w:rPr>
          <w:b w:val="0"/>
          <w:bCs w:val="0"/>
          <w:color w:val="auto"/>
          <w:sz w:val="22"/>
          <w:szCs w:val="22"/>
        </w:rPr>
        <w:t xml:space="preserve">Курс предназначен для менеджеров и специалистов как из HR-департаментов, </w:t>
      </w:r>
      <w:r>
        <w:rPr>
          <w:b w:val="0"/>
          <w:bCs w:val="0"/>
          <w:color w:val="auto"/>
          <w:sz w:val="22"/>
          <w:szCs w:val="22"/>
        </w:rPr>
        <w:br/>
      </w:r>
      <w:r w:rsidRPr="00C15B87">
        <w:rPr>
          <w:b w:val="0"/>
          <w:bCs w:val="0"/>
          <w:color w:val="auto"/>
          <w:sz w:val="22"/>
          <w:szCs w:val="22"/>
        </w:rPr>
        <w:t xml:space="preserve">так и из иных бизнес-подразделений, планирующих самостоятельно разрабатывать, </w:t>
      </w:r>
      <w:r>
        <w:rPr>
          <w:b w:val="0"/>
          <w:bCs w:val="0"/>
          <w:color w:val="auto"/>
          <w:sz w:val="22"/>
          <w:szCs w:val="22"/>
        </w:rPr>
        <w:br/>
      </w:r>
      <w:r w:rsidRPr="00C15B87">
        <w:rPr>
          <w:b w:val="0"/>
          <w:bCs w:val="0"/>
          <w:color w:val="auto"/>
          <w:sz w:val="22"/>
          <w:szCs w:val="22"/>
        </w:rPr>
        <w:t>адаптировать, корректировать модели компетенций и/или создавать планы, организовывать</w:t>
      </w:r>
      <w:r>
        <w:rPr>
          <w:b w:val="0"/>
          <w:bCs w:val="0"/>
          <w:color w:val="auto"/>
          <w:sz w:val="22"/>
          <w:szCs w:val="22"/>
        </w:rPr>
        <w:br/>
      </w:r>
      <w:r w:rsidRPr="00C15B87">
        <w:rPr>
          <w:b w:val="0"/>
          <w:bCs w:val="0"/>
          <w:color w:val="auto"/>
          <w:sz w:val="22"/>
          <w:szCs w:val="22"/>
        </w:rPr>
        <w:t xml:space="preserve"> и контролировать соответствующие проекты</w:t>
      </w:r>
      <w:r w:rsidR="00C56BEC" w:rsidRPr="00C56BEC">
        <w:rPr>
          <w:b w:val="0"/>
          <w:bCs w:val="0"/>
          <w:color w:val="auto"/>
          <w:sz w:val="22"/>
          <w:szCs w:val="22"/>
        </w:rPr>
        <w:t>.</w:t>
      </w:r>
    </w:p>
    <w:p w14:paraId="4618B52F" w14:textId="5F936E68" w:rsidR="003E1E2E" w:rsidRDefault="003E1E2E" w:rsidP="003E1E2E">
      <w:pPr>
        <w:pStyle w:val="1"/>
        <w:spacing w:before="360"/>
      </w:pPr>
      <w:r w:rsidRPr="00AA1647">
        <w:rPr>
          <w:color w:val="515D65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7C74DFD" wp14:editId="7407C6C9">
            <wp:simplePos x="0" y="0"/>
            <wp:positionH relativeFrom="margin">
              <wp:posOffset>5086350</wp:posOffset>
            </wp:positionH>
            <wp:positionV relativeFrom="margin">
              <wp:posOffset>361315</wp:posOffset>
            </wp:positionV>
            <wp:extent cx="1679575" cy="1679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Преимущества выбора</w:t>
      </w:r>
    </w:p>
    <w:p w14:paraId="1889894E" w14:textId="4B4D49FF" w:rsidR="00C15B87" w:rsidRDefault="00C15B87" w:rsidP="00C15B87">
      <w:r>
        <w:t xml:space="preserve">Сегодня успех любой компании во многом зависит от успешности работы ее сотрудников. В разных деловых ситуациях поведение одних сотрудников оказывается более эффективным, чем поведение других. В этой связи важно проанализировать, каким способом и насколько эффективно тот или иной работник достигает поставленные перед ним цели. Проведение такого анализа возможно, </w:t>
      </w:r>
      <w:r>
        <w:br/>
        <w:t xml:space="preserve">он начинается с разработки модели компетенций. </w:t>
      </w:r>
    </w:p>
    <w:p w14:paraId="6F652BBB" w14:textId="77777777" w:rsidR="00C15B87" w:rsidRDefault="00C15B87" w:rsidP="00C15B87">
      <w:r>
        <w:t>Для каждой компании характерен свой набор ключевых компетенций. Соответствие сотрудника модели компетенций обеспечивает наиболее эффективное достижение поставленных перед ними целей в условиях конкретной организации.</w:t>
      </w:r>
    </w:p>
    <w:p w14:paraId="7E71A196" w14:textId="603BFF32" w:rsidR="003E1E2E" w:rsidRDefault="00C15B87" w:rsidP="00C15B87">
      <w:pPr>
        <w:rPr>
          <w:b/>
          <w:bCs/>
        </w:rPr>
      </w:pPr>
      <w:r>
        <w:t>С помощью модели компетенций можно выстроить все процессы, относящиеся к управлению персоналом, на базе единых критериев, что позволяет</w:t>
      </w:r>
      <w:r>
        <w:rPr>
          <w:b/>
          <w:bCs/>
        </w:rPr>
        <w:t>:</w:t>
      </w:r>
    </w:p>
    <w:p w14:paraId="4D85DD72" w14:textId="77777777" w:rsidR="00C15B87" w:rsidRDefault="00C15B87" w:rsidP="00C15B87">
      <w:pPr>
        <w:pStyle w:val="a"/>
      </w:pPr>
      <w:r>
        <w:t>Связать организационные цели и стратегию компании с людьми и процессами</w:t>
      </w:r>
    </w:p>
    <w:p w14:paraId="238D3230" w14:textId="77777777" w:rsidR="00C15B87" w:rsidRDefault="00C15B87" w:rsidP="00C15B87">
      <w:pPr>
        <w:pStyle w:val="a"/>
      </w:pPr>
      <w:r>
        <w:t>Объективно оценить кандидатов и сотрудников</w:t>
      </w:r>
    </w:p>
    <w:p w14:paraId="7ACB11C2" w14:textId="77777777" w:rsidR="00C15B87" w:rsidRDefault="00C15B87" w:rsidP="00C15B87">
      <w:pPr>
        <w:pStyle w:val="a"/>
      </w:pPr>
      <w:r>
        <w:t>Делать это целостно, на всех уровнях организации</w:t>
      </w:r>
    </w:p>
    <w:p w14:paraId="5B7533C4" w14:textId="77777777" w:rsidR="00C15B87" w:rsidRDefault="00C15B87" w:rsidP="00C15B87">
      <w:pPr>
        <w:pStyle w:val="a"/>
      </w:pPr>
      <w:r>
        <w:t>Учесть особенности и культуру организации</w:t>
      </w:r>
    </w:p>
    <w:p w14:paraId="3A4FBC72" w14:textId="77777777" w:rsidR="00C15B87" w:rsidRDefault="00C15B87" w:rsidP="00C15B87">
      <w:pPr>
        <w:pStyle w:val="a"/>
      </w:pPr>
      <w:r>
        <w:t>Отразить поведение, которое приводит к успеху сегодня</w:t>
      </w:r>
    </w:p>
    <w:p w14:paraId="1FFD3DE1" w14:textId="77777777" w:rsidR="00C15B87" w:rsidRDefault="00C15B87" w:rsidP="00C15B87">
      <w:pPr>
        <w:pStyle w:val="a"/>
      </w:pPr>
      <w:r>
        <w:t>Отразить поведение, которое понадобится сотрудникам в будущем</w:t>
      </w:r>
    </w:p>
    <w:p w14:paraId="513B99C2" w14:textId="77777777" w:rsidR="00C15B87" w:rsidRDefault="00C15B87" w:rsidP="00C15B87">
      <w:pPr>
        <w:pStyle w:val="a"/>
      </w:pPr>
      <w:r>
        <w:t>Выстраивать системы преемственности и кадрового резерва</w:t>
      </w:r>
    </w:p>
    <w:p w14:paraId="78BA01D2" w14:textId="49469987" w:rsidR="00C15B87" w:rsidRDefault="00C15B87" w:rsidP="00C15B87">
      <w:pPr>
        <w:pStyle w:val="a"/>
      </w:pPr>
      <w:r>
        <w:t>Планирование развития персонала</w:t>
      </w:r>
    </w:p>
    <w:p w14:paraId="5F90792A" w14:textId="44852A95" w:rsidR="00C15B87" w:rsidRDefault="00C15B87" w:rsidP="00C15B87">
      <w:pPr>
        <w:pStyle w:val="1"/>
        <w:spacing w:before="240"/>
        <w:rPr>
          <w:b w:val="0"/>
          <w:bCs w:val="0"/>
          <w:color w:val="auto"/>
          <w:sz w:val="22"/>
          <w:szCs w:val="22"/>
        </w:rPr>
      </w:pPr>
      <w:r w:rsidRPr="00C15B87">
        <w:rPr>
          <w:b w:val="0"/>
          <w:bCs w:val="0"/>
          <w:color w:val="auto"/>
          <w:sz w:val="22"/>
          <w:szCs w:val="22"/>
        </w:rPr>
        <w:t>Наша цель – не только поделиться исчерпывающими знаниями по вопросам компетенций, методологией, которой придерживается компания SHL в ходе моделирования, а также помочь вам спланировать реализацию проекта по моделированию поведенческих компетенций в вашей компании с учетом существующих ресурсов и особенностей</w:t>
      </w:r>
      <w:r>
        <w:rPr>
          <w:b w:val="0"/>
          <w:bCs w:val="0"/>
          <w:color w:val="auto"/>
          <w:sz w:val="22"/>
          <w:szCs w:val="22"/>
        </w:rPr>
        <w:t>.</w:t>
      </w:r>
    </w:p>
    <w:p w14:paraId="1A912AB1" w14:textId="267A81DF" w:rsidR="007B1520" w:rsidRPr="006C4347" w:rsidRDefault="007B1520" w:rsidP="003433B7">
      <w:pPr>
        <w:pStyle w:val="1"/>
        <w:spacing w:before="360" w:after="240"/>
        <w:rPr>
          <w:b w:val="0"/>
          <w:bCs w:val="0"/>
          <w:color w:val="000000" w:themeColor="text1"/>
          <w:sz w:val="24"/>
          <w:szCs w:val="24"/>
        </w:rPr>
      </w:pPr>
      <w:r w:rsidRPr="00C30FA7">
        <w:t xml:space="preserve">Условия участия: </w:t>
      </w:r>
      <w:r w:rsidR="001D5FA3" w:rsidRPr="001D5FA3">
        <w:rPr>
          <w:b w:val="0"/>
          <w:bCs w:val="0"/>
          <w:color w:val="000000" w:themeColor="text1"/>
          <w:sz w:val="22"/>
          <w:szCs w:val="22"/>
        </w:rPr>
        <w:t>дополнительных условий участия нет</w:t>
      </w:r>
      <w:r w:rsidR="001D5FA3">
        <w:rPr>
          <w:b w:val="0"/>
          <w:bCs w:val="0"/>
          <w:color w:val="000000" w:themeColor="text1"/>
          <w:sz w:val="22"/>
          <w:szCs w:val="22"/>
        </w:rPr>
        <w:t>.</w:t>
      </w:r>
    </w:p>
    <w:p w14:paraId="2D5CFF1B" w14:textId="5BE01C20" w:rsidR="007B1520" w:rsidRDefault="007B1520" w:rsidP="003433B7">
      <w:pPr>
        <w:pStyle w:val="1"/>
        <w:spacing w:after="240"/>
        <w:rPr>
          <w:b w:val="0"/>
          <w:bCs w:val="0"/>
          <w:color w:val="000000" w:themeColor="text1"/>
          <w:sz w:val="22"/>
          <w:szCs w:val="22"/>
        </w:rPr>
      </w:pPr>
      <w:r>
        <w:t xml:space="preserve">Формат обучения: </w:t>
      </w:r>
      <w:r w:rsidR="001D5FA3" w:rsidRPr="001D5FA3">
        <w:rPr>
          <w:b w:val="0"/>
          <w:bCs w:val="0"/>
          <w:color w:val="000000" w:themeColor="text1"/>
          <w:sz w:val="22"/>
          <w:szCs w:val="22"/>
        </w:rPr>
        <w:t>очное обучение в офисе SHL по расписанию открытых семинаров</w:t>
      </w:r>
      <w:r w:rsidRPr="006C4347">
        <w:rPr>
          <w:b w:val="0"/>
          <w:bCs w:val="0"/>
          <w:color w:val="000000" w:themeColor="text1"/>
          <w:sz w:val="22"/>
          <w:szCs w:val="22"/>
        </w:rPr>
        <w:t>.</w:t>
      </w:r>
    </w:p>
    <w:p w14:paraId="51168110" w14:textId="709D4B93" w:rsidR="003433B7" w:rsidRDefault="003433B7" w:rsidP="003433B7">
      <w:pPr>
        <w:pStyle w:val="1"/>
        <w:spacing w:after="240"/>
        <w:rPr>
          <w:b w:val="0"/>
          <w:bCs w:val="0"/>
          <w:color w:val="000000" w:themeColor="text1"/>
          <w:sz w:val="22"/>
          <w:szCs w:val="22"/>
        </w:rPr>
      </w:pPr>
      <w:r>
        <w:t xml:space="preserve">Продолжительность: </w:t>
      </w:r>
      <w:r w:rsidR="00342DAF">
        <w:rPr>
          <w:b w:val="0"/>
          <w:bCs w:val="0"/>
          <w:color w:val="000000" w:themeColor="text1"/>
          <w:sz w:val="22"/>
          <w:szCs w:val="22"/>
        </w:rPr>
        <w:t>3 дня</w:t>
      </w:r>
      <w:r w:rsidRPr="003433B7">
        <w:rPr>
          <w:b w:val="0"/>
          <w:bCs w:val="0"/>
          <w:color w:val="000000" w:themeColor="text1"/>
          <w:sz w:val="22"/>
          <w:szCs w:val="22"/>
        </w:rPr>
        <w:t xml:space="preserve"> (с 10.00 до 18.00 с перерывом на обед)</w:t>
      </w:r>
      <w:r w:rsidRPr="006C4347">
        <w:rPr>
          <w:b w:val="0"/>
          <w:bCs w:val="0"/>
          <w:color w:val="000000" w:themeColor="text1"/>
          <w:sz w:val="22"/>
          <w:szCs w:val="22"/>
        </w:rPr>
        <w:t>.</w:t>
      </w:r>
    </w:p>
    <w:p w14:paraId="5D693093" w14:textId="27796014" w:rsidR="00C15B87" w:rsidRDefault="00C15B87" w:rsidP="00C15B87"/>
    <w:p w14:paraId="4E244A09" w14:textId="77777777" w:rsidR="00C15B87" w:rsidRPr="00C15B87" w:rsidRDefault="00C15B87" w:rsidP="00C15B87"/>
    <w:p w14:paraId="790CBFCB" w14:textId="1ED4CE0F" w:rsidR="007B1520" w:rsidRDefault="007B1520" w:rsidP="003433B7">
      <w:pPr>
        <w:spacing w:after="240"/>
      </w:pPr>
      <w:r w:rsidRPr="00C30FA7">
        <w:rPr>
          <w:rStyle w:val="10"/>
        </w:rPr>
        <w:t>Язык обучения:</w:t>
      </w:r>
      <w:r>
        <w:t xml:space="preserve"> </w:t>
      </w:r>
      <w:r w:rsidR="00C30FA7">
        <w:t>р</w:t>
      </w:r>
      <w:r>
        <w:t>усский. Все материалы также представлены на русском языке.</w:t>
      </w:r>
      <w:r>
        <w:tab/>
      </w:r>
    </w:p>
    <w:p w14:paraId="463CF6CA" w14:textId="4C20538E" w:rsidR="003E1E2E" w:rsidRDefault="007B1520" w:rsidP="003433B7">
      <w:pPr>
        <w:spacing w:after="240"/>
      </w:pPr>
      <w:r w:rsidRPr="00C30FA7">
        <w:rPr>
          <w:rStyle w:val="10"/>
        </w:rPr>
        <w:t>Сертификат</w:t>
      </w:r>
      <w:r w:rsidR="00C86229">
        <w:rPr>
          <w:rStyle w:val="10"/>
        </w:rPr>
        <w:t xml:space="preserve"> и</w:t>
      </w:r>
      <w:r w:rsidRPr="00C30FA7">
        <w:rPr>
          <w:rStyle w:val="10"/>
        </w:rPr>
        <w:t xml:space="preserve"> условия получения сертификата:</w:t>
      </w:r>
      <w:r>
        <w:t xml:space="preserve"> </w:t>
      </w:r>
      <w:r w:rsidR="00C56BEC">
        <w:rPr>
          <w:szCs w:val="18"/>
          <w:lang w:eastAsia="en-GB"/>
        </w:rPr>
        <w:t>по итогам семинара участники получают сертификат SHL в электронном виде в личном кабинете на онлайн-платформе SHLTOOLS</w:t>
      </w:r>
      <w:r>
        <w:t xml:space="preserve">. </w:t>
      </w:r>
    </w:p>
    <w:p w14:paraId="3FC87F3C" w14:textId="2BD48338" w:rsidR="001D5FA3" w:rsidRDefault="001D5FA3" w:rsidP="00C15B87">
      <w:pPr>
        <w:pStyle w:val="1"/>
        <w:spacing w:before="480"/>
      </w:pPr>
      <w:r w:rsidRPr="00C30FA7">
        <w:t>Программа курса</w:t>
      </w:r>
    </w:p>
    <w:p w14:paraId="50B5965D" w14:textId="77777777" w:rsidR="003E1E2E" w:rsidRPr="00293A05" w:rsidRDefault="003E1E2E" w:rsidP="003E1E2E">
      <w:pPr>
        <w:pStyle w:val="1"/>
        <w:rPr>
          <w:color w:val="000000" w:themeColor="text1"/>
          <w:sz w:val="22"/>
          <w:szCs w:val="22"/>
        </w:rPr>
      </w:pPr>
      <w:r w:rsidRPr="00293A05">
        <w:rPr>
          <w:color w:val="000000" w:themeColor="text1"/>
          <w:sz w:val="22"/>
          <w:szCs w:val="22"/>
        </w:rPr>
        <w:t>День 1</w:t>
      </w:r>
    </w:p>
    <w:p w14:paraId="25A3C02D" w14:textId="77777777" w:rsidR="00C15B87" w:rsidRPr="00C15B87" w:rsidRDefault="00C15B87" w:rsidP="00C15B87">
      <w:pPr>
        <w:pStyle w:val="a"/>
      </w:pPr>
      <w:r w:rsidRPr="00C15B87">
        <w:t xml:space="preserve">Введение в концепцию компетентностного подхода </w:t>
      </w:r>
    </w:p>
    <w:p w14:paraId="16103772" w14:textId="77777777" w:rsidR="00C15B87" w:rsidRPr="00C15B87" w:rsidRDefault="00C15B87" w:rsidP="00C15B87">
      <w:pPr>
        <w:pStyle w:val="a"/>
      </w:pPr>
      <w:r w:rsidRPr="00C15B87">
        <w:t>Принципы и методы моделирования компетенций</w:t>
      </w:r>
    </w:p>
    <w:p w14:paraId="072BD3A1" w14:textId="77777777" w:rsidR="00C15B87" w:rsidRPr="00C15B87" w:rsidRDefault="00C15B87" w:rsidP="00C15B87">
      <w:pPr>
        <w:pStyle w:val="a"/>
      </w:pPr>
      <w:r w:rsidRPr="00C15B87">
        <w:t xml:space="preserve">Разновидности моделей компетенций, их преимущества и ограничения </w:t>
      </w:r>
    </w:p>
    <w:p w14:paraId="37627858" w14:textId="77777777" w:rsidR="00C15B87" w:rsidRPr="00C15B87" w:rsidRDefault="00C15B87" w:rsidP="00C15B87">
      <w:pPr>
        <w:pStyle w:val="a"/>
      </w:pPr>
      <w:r w:rsidRPr="00C15B87">
        <w:t>Мульти-методный подход к анализу работы</w:t>
      </w:r>
    </w:p>
    <w:p w14:paraId="57AF8BED" w14:textId="77777777" w:rsidR="00C15B87" w:rsidRPr="00C15B87" w:rsidRDefault="00C15B87" w:rsidP="00C15B87">
      <w:pPr>
        <w:pStyle w:val="a"/>
      </w:pPr>
      <w:r w:rsidRPr="00C15B87">
        <w:t>Подход к планированию проектов по анализу работы (основные этапы, сроки, участники)</w:t>
      </w:r>
    </w:p>
    <w:p w14:paraId="0497F9A3" w14:textId="77777777" w:rsidR="00C15B87" w:rsidRPr="00C15B87" w:rsidRDefault="00C15B87" w:rsidP="00C15B87">
      <w:pPr>
        <w:pStyle w:val="a"/>
      </w:pPr>
      <w:r w:rsidRPr="00C15B87">
        <w:t>Принципы анализа собранных данных и создания компетенций</w:t>
      </w:r>
    </w:p>
    <w:p w14:paraId="5550A354" w14:textId="77777777" w:rsidR="00C15B87" w:rsidRPr="00C15B87" w:rsidRDefault="00C15B87" w:rsidP="00C15B87">
      <w:pPr>
        <w:pStyle w:val="a"/>
      </w:pPr>
      <w:r w:rsidRPr="00C15B87">
        <w:t>Методы анализа работы: Иерархический анализ задач (обзор, особенности, в каких ситуациях применятся, практика на примере из рабочей тетради)</w:t>
      </w:r>
    </w:p>
    <w:p w14:paraId="708B3A60" w14:textId="7534BABC" w:rsidR="00C15B87" w:rsidRDefault="00C15B87" w:rsidP="00C15B87">
      <w:pPr>
        <w:pStyle w:val="a"/>
        <w:rPr>
          <w:b/>
          <w:bCs/>
        </w:rPr>
      </w:pPr>
      <w:r w:rsidRPr="00C15B87">
        <w:t xml:space="preserve">Методы анализа работы: Прогностическое интервью (обзор, особенности метода, практика </w:t>
      </w:r>
      <w:r>
        <w:br/>
      </w:r>
      <w:r w:rsidRPr="00C15B87">
        <w:t>на примере из рабочей тетради)</w:t>
      </w:r>
    </w:p>
    <w:p w14:paraId="0B38AF62" w14:textId="139259C9" w:rsidR="003E1E2E" w:rsidRPr="00293A05" w:rsidRDefault="003E1E2E" w:rsidP="00C15B87">
      <w:pPr>
        <w:pStyle w:val="1"/>
        <w:spacing w:before="360"/>
        <w:rPr>
          <w:color w:val="000000" w:themeColor="text1"/>
          <w:sz w:val="22"/>
          <w:szCs w:val="22"/>
        </w:rPr>
      </w:pPr>
      <w:r w:rsidRPr="00293A05">
        <w:rPr>
          <w:color w:val="000000" w:themeColor="text1"/>
          <w:sz w:val="22"/>
          <w:szCs w:val="22"/>
        </w:rPr>
        <w:t>День 2</w:t>
      </w:r>
    </w:p>
    <w:p w14:paraId="1D6D8C8B" w14:textId="77777777" w:rsidR="00C15B87" w:rsidRPr="00C15B87" w:rsidRDefault="00C15B87" w:rsidP="00C15B87">
      <w:pPr>
        <w:pStyle w:val="a"/>
        <w:rPr>
          <w:color w:val="000000" w:themeColor="text1"/>
        </w:rPr>
      </w:pPr>
      <w:r w:rsidRPr="00C15B87">
        <w:rPr>
          <w:color w:val="000000" w:themeColor="text1"/>
        </w:rPr>
        <w:t>Методы анализа работы: Репертуарные решетки (обзор, особенности, в каких ситуациях применятся, практика на примере из рабочей тетради)</w:t>
      </w:r>
    </w:p>
    <w:p w14:paraId="0EB5706A" w14:textId="4C96D70A" w:rsidR="00C15B87" w:rsidRPr="00C15B87" w:rsidRDefault="00C15B87" w:rsidP="00C15B87">
      <w:pPr>
        <w:pStyle w:val="a"/>
        <w:rPr>
          <w:color w:val="000000" w:themeColor="text1"/>
        </w:rPr>
      </w:pPr>
      <w:r w:rsidRPr="00C15B87">
        <w:rPr>
          <w:color w:val="000000" w:themeColor="text1"/>
        </w:rPr>
        <w:t xml:space="preserve">Методы анализа работы: Прямые атрибуты (обзор, особенности метода, практика на примере </w:t>
      </w:r>
      <w:r>
        <w:rPr>
          <w:color w:val="000000" w:themeColor="text1"/>
        </w:rPr>
        <w:br/>
      </w:r>
      <w:r w:rsidRPr="00C15B87">
        <w:rPr>
          <w:color w:val="000000" w:themeColor="text1"/>
        </w:rPr>
        <w:t>из рабочей тетради)</w:t>
      </w:r>
    </w:p>
    <w:p w14:paraId="61A643A9" w14:textId="51C48089" w:rsidR="00C15B87" w:rsidRPr="00C15B87" w:rsidRDefault="00C15B87" w:rsidP="00C15B87">
      <w:pPr>
        <w:pStyle w:val="a"/>
        <w:rPr>
          <w:color w:val="000000" w:themeColor="text1"/>
        </w:rPr>
      </w:pPr>
      <w:r w:rsidRPr="00C15B87">
        <w:rPr>
          <w:color w:val="000000" w:themeColor="text1"/>
        </w:rPr>
        <w:t xml:space="preserve">Методы анализа работы: Критические инциденты (обзор, особенности метода, практика </w:t>
      </w:r>
      <w:r>
        <w:rPr>
          <w:color w:val="000000" w:themeColor="text1"/>
        </w:rPr>
        <w:br/>
      </w:r>
      <w:r w:rsidRPr="00C15B87">
        <w:rPr>
          <w:color w:val="000000" w:themeColor="text1"/>
        </w:rPr>
        <w:t>на примере из рабочей тетради)</w:t>
      </w:r>
    </w:p>
    <w:p w14:paraId="427E8A3A" w14:textId="77777777" w:rsidR="00C15B87" w:rsidRPr="00C15B87" w:rsidRDefault="00C15B87" w:rsidP="00C15B87">
      <w:pPr>
        <w:pStyle w:val="a"/>
        <w:rPr>
          <w:color w:val="000000" w:themeColor="text1"/>
        </w:rPr>
      </w:pPr>
      <w:r w:rsidRPr="00C15B87">
        <w:rPr>
          <w:color w:val="000000" w:themeColor="text1"/>
        </w:rPr>
        <w:t>Методы анализа работы: Фокус-группа (обзор, особенности)</w:t>
      </w:r>
    </w:p>
    <w:p w14:paraId="0B89B920" w14:textId="77777777" w:rsidR="00C15B87" w:rsidRPr="00C15B87" w:rsidRDefault="00C15B87" w:rsidP="00C15B87">
      <w:pPr>
        <w:pStyle w:val="a"/>
        <w:rPr>
          <w:color w:val="000000" w:themeColor="text1"/>
        </w:rPr>
      </w:pPr>
      <w:r w:rsidRPr="00C15B87">
        <w:rPr>
          <w:color w:val="000000" w:themeColor="text1"/>
        </w:rPr>
        <w:t>Методы анализа работы: онлайн опросники (обзор, особенности)</w:t>
      </w:r>
    </w:p>
    <w:p w14:paraId="6F0715BB" w14:textId="7A83E2CE" w:rsidR="003E1E2E" w:rsidRPr="00293A05" w:rsidRDefault="00C15B87" w:rsidP="00C15B87">
      <w:pPr>
        <w:pStyle w:val="a"/>
        <w:rPr>
          <w:color w:val="000000" w:themeColor="text1"/>
        </w:rPr>
      </w:pPr>
      <w:r w:rsidRPr="00C15B87">
        <w:rPr>
          <w:color w:val="000000" w:themeColor="text1"/>
        </w:rPr>
        <w:t xml:space="preserve">Практика: сбор информации с применением отдельных изученных методов анализа работы </w:t>
      </w:r>
      <w:r>
        <w:rPr>
          <w:color w:val="000000" w:themeColor="text1"/>
        </w:rPr>
        <w:br/>
      </w:r>
      <w:r w:rsidRPr="00C15B87">
        <w:rPr>
          <w:color w:val="000000" w:themeColor="text1"/>
        </w:rPr>
        <w:t>в условиях моделирования реального процесса сбора данных с эксперта (носителя работ</w:t>
      </w:r>
      <w:r>
        <w:rPr>
          <w:color w:val="000000" w:themeColor="text1"/>
        </w:rPr>
        <w:t>)</w:t>
      </w:r>
    </w:p>
    <w:p w14:paraId="2F213213" w14:textId="01FA1D73" w:rsidR="003E1E2E" w:rsidRPr="00293A05" w:rsidRDefault="003E1E2E" w:rsidP="003E1E2E">
      <w:pPr>
        <w:pStyle w:val="1"/>
        <w:spacing w:before="360"/>
        <w:rPr>
          <w:color w:val="000000" w:themeColor="text1"/>
          <w:sz w:val="22"/>
          <w:szCs w:val="22"/>
        </w:rPr>
      </w:pPr>
      <w:r w:rsidRPr="00293A05">
        <w:rPr>
          <w:color w:val="000000" w:themeColor="text1"/>
          <w:sz w:val="22"/>
          <w:szCs w:val="22"/>
        </w:rPr>
        <w:t>День 3</w:t>
      </w:r>
    </w:p>
    <w:p w14:paraId="0D032CBD" w14:textId="77777777" w:rsidR="00C15B87" w:rsidRPr="00C15B87" w:rsidRDefault="00C15B87" w:rsidP="00C15B87">
      <w:pPr>
        <w:pStyle w:val="a"/>
        <w:rPr>
          <w:color w:val="000000" w:themeColor="text1"/>
        </w:rPr>
      </w:pPr>
      <w:r w:rsidRPr="00C15B87">
        <w:rPr>
          <w:color w:val="000000" w:themeColor="text1"/>
        </w:rPr>
        <w:t xml:space="preserve">Практика: Анализ примеров, собранной информации </w:t>
      </w:r>
    </w:p>
    <w:p w14:paraId="4DD8110C" w14:textId="07324B4E" w:rsidR="00C15B87" w:rsidRPr="00C15B87" w:rsidRDefault="00C15B87" w:rsidP="00C15B87">
      <w:pPr>
        <w:pStyle w:val="a"/>
        <w:rPr>
          <w:color w:val="000000" w:themeColor="text1"/>
        </w:rPr>
      </w:pPr>
      <w:r w:rsidRPr="00C15B87">
        <w:rPr>
          <w:color w:val="000000" w:themeColor="text1"/>
        </w:rPr>
        <w:t xml:space="preserve">Практика: Создание участниками в ходе семинара модели компетенций </w:t>
      </w:r>
      <w:r>
        <w:rPr>
          <w:color w:val="000000" w:themeColor="text1"/>
        </w:rPr>
        <w:br/>
      </w:r>
      <w:r w:rsidRPr="00C15B87">
        <w:rPr>
          <w:color w:val="000000" w:themeColor="text1"/>
        </w:rPr>
        <w:t xml:space="preserve">(2-3 простые компетенции) </w:t>
      </w:r>
    </w:p>
    <w:p w14:paraId="7512D0A6" w14:textId="77777777" w:rsidR="00C15B87" w:rsidRPr="00C15B87" w:rsidRDefault="00C15B87" w:rsidP="00C15B87">
      <w:pPr>
        <w:pStyle w:val="a"/>
        <w:rPr>
          <w:color w:val="000000" w:themeColor="text1"/>
        </w:rPr>
      </w:pPr>
      <w:r w:rsidRPr="00C15B87">
        <w:rPr>
          <w:color w:val="000000" w:themeColor="text1"/>
        </w:rPr>
        <w:t>Презентация и обсуждение результатов работы</w:t>
      </w:r>
    </w:p>
    <w:p w14:paraId="22109567" w14:textId="2F7F9267" w:rsidR="003E1E2E" w:rsidRPr="00C15B87" w:rsidRDefault="00C15B87" w:rsidP="00C15B87">
      <w:pPr>
        <w:pStyle w:val="a"/>
        <w:rPr>
          <w:color w:val="000000" w:themeColor="text1"/>
        </w:rPr>
      </w:pPr>
      <w:r w:rsidRPr="00C15B87">
        <w:rPr>
          <w:color w:val="000000" w:themeColor="text1"/>
        </w:rPr>
        <w:t xml:space="preserve">Разбор сферы применения модели компетенций в рамках системы управления </w:t>
      </w:r>
      <w:r>
        <w:rPr>
          <w:color w:val="000000" w:themeColor="text1"/>
        </w:rPr>
        <w:br/>
      </w:r>
      <w:r w:rsidRPr="00C15B87">
        <w:rPr>
          <w:color w:val="000000" w:themeColor="text1"/>
        </w:rPr>
        <w:t>человеческими ресурсами, а также в компаниях участников</w:t>
      </w:r>
    </w:p>
    <w:p w14:paraId="613C5547" w14:textId="77777777" w:rsidR="00342DAF" w:rsidRDefault="00342DAF" w:rsidP="00C86229"/>
    <w:p w14:paraId="6F688663" w14:textId="4D5A7766" w:rsidR="00C86229" w:rsidRDefault="001D5FA3" w:rsidP="00DD4947">
      <w:pPr>
        <w:pStyle w:val="1"/>
        <w:spacing w:after="240"/>
      </w:pPr>
      <w:r>
        <w:t>Материалы семинара и презентации</w:t>
      </w:r>
    </w:p>
    <w:p w14:paraId="7C3183AE" w14:textId="14FFD86C" w:rsidR="001D5FA3" w:rsidRDefault="00C15B87" w:rsidP="001D5FA3">
      <w:r w:rsidRPr="00C15B87">
        <w:t xml:space="preserve">По итогам участники семинара получают доступ в личный кабинет в системе SHLTOOLS </w:t>
      </w:r>
      <w:r>
        <w:br/>
      </w:r>
      <w:r w:rsidRPr="00C15B87">
        <w:t>и пакет материалов семинара в электронном виде</w:t>
      </w:r>
      <w:r w:rsidR="001D5FA3">
        <w:t>:</w:t>
      </w:r>
    </w:p>
    <w:p w14:paraId="5519A349" w14:textId="77777777" w:rsidR="00C15B87" w:rsidRDefault="00C15B87" w:rsidP="00C15B87">
      <w:pPr>
        <w:pStyle w:val="a"/>
      </w:pPr>
      <w:r>
        <w:t>Справочное издание по тематике семинара;</w:t>
      </w:r>
    </w:p>
    <w:p w14:paraId="1A937BB6" w14:textId="77777777" w:rsidR="00C15B87" w:rsidRDefault="00C15B87" w:rsidP="00C15B87">
      <w:pPr>
        <w:pStyle w:val="a"/>
      </w:pPr>
      <w:r>
        <w:t>Копия презентации;</w:t>
      </w:r>
    </w:p>
    <w:p w14:paraId="5DE60D22" w14:textId="26FDC332" w:rsidR="00293A05" w:rsidRDefault="00C15B87" w:rsidP="00C15B87">
      <w:pPr>
        <w:pStyle w:val="a"/>
      </w:pPr>
      <w:r>
        <w:t>Сборник практических заданий.</w:t>
      </w:r>
    </w:p>
    <w:p w14:paraId="6D53B22A" w14:textId="77777777" w:rsidR="00672041" w:rsidRDefault="00672041" w:rsidP="00293A05">
      <w:pPr>
        <w:pStyle w:val="a"/>
        <w:numPr>
          <w:ilvl w:val="0"/>
          <w:numId w:val="0"/>
        </w:numPr>
        <w:ind w:left="284" w:hanging="284"/>
      </w:pPr>
    </w:p>
    <w:p w14:paraId="101240C1" w14:textId="77777777" w:rsidR="00293A05" w:rsidRDefault="00293A05" w:rsidP="00F5658A">
      <w:pPr>
        <w:pStyle w:val="1"/>
      </w:pPr>
    </w:p>
    <w:p w14:paraId="6582FB67" w14:textId="77777777" w:rsidR="00C15B87" w:rsidRDefault="00C15B87" w:rsidP="00F5658A">
      <w:pPr>
        <w:pStyle w:val="1"/>
      </w:pPr>
    </w:p>
    <w:p w14:paraId="22A1F025" w14:textId="703612FA" w:rsidR="00F5658A" w:rsidRDefault="00F5658A" w:rsidP="00672041">
      <w:pPr>
        <w:pStyle w:val="1"/>
        <w:spacing w:before="360"/>
      </w:pPr>
      <w:r>
        <w:t>Адрес проведения семинара:</w:t>
      </w:r>
    </w:p>
    <w:p w14:paraId="508E6E3A" w14:textId="0A2E495B" w:rsidR="00F5658A" w:rsidRDefault="00F5658A" w:rsidP="00C86229">
      <w:r w:rsidRPr="00F5658A">
        <w:t xml:space="preserve">105082, Москва, Спартаковский пер., д. 2, стр. 1, БЦ «Платформа», подъезд 8, этаж 4  (ст.метро: Красносельская, Бауманская). </w:t>
      </w:r>
      <w:r w:rsidRPr="00F5658A">
        <w:rPr>
          <w:b/>
          <w:bCs/>
        </w:rPr>
        <w:t>Внимание!</w:t>
      </w:r>
      <w:r w:rsidRPr="00F5658A">
        <w:t xml:space="preserve"> Возможно изменение места проведения семинара</w:t>
      </w:r>
      <w:r>
        <w:t>.</w:t>
      </w:r>
    </w:p>
    <w:p w14:paraId="70229222" w14:textId="77777777" w:rsidR="00DD4947" w:rsidRPr="00DD4947" w:rsidRDefault="00DD4947" w:rsidP="00293A05">
      <w:pPr>
        <w:pStyle w:val="1"/>
        <w:spacing w:before="480"/>
      </w:pPr>
      <w:r w:rsidRPr="00DD4947">
        <w:t>Как принять участие в семинаре?</w:t>
      </w:r>
    </w:p>
    <w:p w14:paraId="794D0315" w14:textId="5A2B9C06" w:rsidR="00DD4947" w:rsidRPr="00DD4947" w:rsidRDefault="00DD4947" w:rsidP="00DD4947">
      <w:pPr>
        <w:pStyle w:val="a"/>
        <w:numPr>
          <w:ilvl w:val="0"/>
          <w:numId w:val="3"/>
        </w:numPr>
        <w:spacing w:after="120"/>
        <w:ind w:left="357" w:hanging="357"/>
      </w:pPr>
      <w:r w:rsidRPr="00DD4947">
        <w:t xml:space="preserve">Зайдите на сайт </w:t>
      </w:r>
      <w:r w:rsidRPr="00DD4947">
        <w:rPr>
          <w:lang w:val="en-US"/>
        </w:rPr>
        <w:t>www</w:t>
      </w:r>
      <w:r w:rsidRPr="00DD4947">
        <w:t>.</w:t>
      </w:r>
      <w:r w:rsidRPr="00DD4947">
        <w:rPr>
          <w:lang w:val="en-US"/>
        </w:rPr>
        <w:t>shl</w:t>
      </w:r>
      <w:r w:rsidRPr="00DD4947">
        <w:t>.</w:t>
      </w:r>
      <w:r w:rsidRPr="00DD4947">
        <w:rPr>
          <w:lang w:val="en-US"/>
        </w:rPr>
        <w:t>ru</w:t>
      </w:r>
      <w:r w:rsidRPr="00DD4947">
        <w:t xml:space="preserve"> в раздел «Тренинги и семинары», </w:t>
      </w:r>
      <w:r w:rsidR="00064946">
        <w:rPr>
          <w:szCs w:val="18"/>
          <w:lang w:eastAsia="en-GB"/>
        </w:rPr>
        <w:t xml:space="preserve">выберите дату проведения семинара </w:t>
      </w:r>
      <w:r w:rsidRPr="00DD4947">
        <w:t xml:space="preserve">и отправьте заявку на участие. Наш менеджер обязательно свяжется с Вами </w:t>
      </w:r>
      <w:r>
        <w:br/>
      </w:r>
      <w:r w:rsidRPr="00DD4947">
        <w:t>для согласования деталей.</w:t>
      </w:r>
    </w:p>
    <w:p w14:paraId="40F50353" w14:textId="2E477FBA" w:rsidR="006C4347" w:rsidRPr="00913611" w:rsidRDefault="00DD4947" w:rsidP="00913611">
      <w:pPr>
        <w:pStyle w:val="a"/>
        <w:numPr>
          <w:ilvl w:val="0"/>
          <w:numId w:val="3"/>
        </w:numPr>
        <w:spacing w:after="120"/>
        <w:ind w:left="357" w:hanging="357"/>
        <w:rPr>
          <w:lang w:val="en-US"/>
        </w:rPr>
      </w:pPr>
      <w:r w:rsidRPr="00DD4947">
        <w:t>Свяжитесь</w:t>
      </w:r>
      <w:r w:rsidRPr="00DD4947">
        <w:rPr>
          <w:lang w:val="en-US"/>
        </w:rPr>
        <w:t xml:space="preserve"> </w:t>
      </w:r>
      <w:r w:rsidRPr="00DD4947">
        <w:t>с</w:t>
      </w:r>
      <w:r w:rsidRPr="00DD4947">
        <w:rPr>
          <w:lang w:val="en-US"/>
        </w:rPr>
        <w:t xml:space="preserve"> </w:t>
      </w:r>
      <w:r w:rsidRPr="00DD4947">
        <w:t>офисом</w:t>
      </w:r>
      <w:r w:rsidRPr="00DD4947">
        <w:rPr>
          <w:lang w:val="en-US"/>
        </w:rPr>
        <w:t xml:space="preserve"> </w:t>
      </w:r>
      <w:r w:rsidRPr="00DD4947">
        <w:t>компании</w:t>
      </w:r>
      <w:r w:rsidRPr="00DD4947">
        <w:rPr>
          <w:lang w:val="en-US"/>
        </w:rPr>
        <w:t xml:space="preserve"> SHL Russia&amp;CIS / Business Psychologists Ltd.: </w:t>
      </w:r>
      <w:r w:rsidRPr="00DD4947">
        <w:rPr>
          <w:lang w:val="en-US"/>
        </w:rPr>
        <w:br/>
        <w:t xml:space="preserve">Тел: +7 (495) 646-75-16, + 7 (926) 351-42-75 </w:t>
      </w:r>
      <w:r w:rsidRPr="00DD4947">
        <w:rPr>
          <w:lang w:val="en-US"/>
        </w:rPr>
        <w:br/>
        <w:t xml:space="preserve">E-Mail: </w:t>
      </w:r>
      <w:hyperlink r:id="rId8" w:history="1">
        <w:r w:rsidR="00913611" w:rsidRPr="00A22FFA">
          <w:rPr>
            <w:rStyle w:val="aa"/>
            <w:lang w:val="en-US"/>
          </w:rPr>
          <w:t>shl@shl.ru</w:t>
        </w:r>
      </w:hyperlink>
      <w:r w:rsidRPr="00913611">
        <w:rPr>
          <w:lang w:val="en-US"/>
        </w:rPr>
        <w:t xml:space="preserve">, </w:t>
      </w:r>
      <w:hyperlink r:id="rId9" w:history="1">
        <w:r w:rsidR="00F5658A" w:rsidRPr="00913611">
          <w:rPr>
            <w:rStyle w:val="aa"/>
            <w:lang w:val="en-US"/>
          </w:rPr>
          <w:t>customerservice@shl.ru</w:t>
        </w:r>
      </w:hyperlink>
    </w:p>
    <w:p w14:paraId="58571A03" w14:textId="096B125B" w:rsidR="00F5658A" w:rsidRPr="00F5658A" w:rsidRDefault="00064946" w:rsidP="00293A05">
      <w:pPr>
        <w:pStyle w:val="1"/>
        <w:spacing w:before="480"/>
        <w:rPr>
          <w:lang w:val="en-US"/>
        </w:rPr>
      </w:pPr>
      <w:r w:rsidRPr="00064946">
        <w:t>Рекомендуемые дополнительные курсы</w:t>
      </w:r>
      <w:r w:rsidR="00F5658A" w:rsidRPr="00F5658A">
        <w:rPr>
          <w:lang w:val="en-US"/>
        </w:rPr>
        <w:t>:</w:t>
      </w:r>
    </w:p>
    <w:p w14:paraId="003DA930" w14:textId="77777777" w:rsidR="00342DAF" w:rsidRPr="00342DAF" w:rsidRDefault="00342DAF" w:rsidP="00342DAF">
      <w:pPr>
        <w:pStyle w:val="a"/>
        <w:rPr>
          <w:lang w:val="en-US"/>
        </w:rPr>
      </w:pPr>
      <w:r>
        <w:t>Разработка</w:t>
      </w:r>
      <w:r w:rsidRPr="00342DAF">
        <w:rPr>
          <w:lang w:val="en-US"/>
        </w:rPr>
        <w:t xml:space="preserve"> </w:t>
      </w:r>
      <w:r>
        <w:t>и</w:t>
      </w:r>
      <w:r w:rsidRPr="00342DAF">
        <w:rPr>
          <w:lang w:val="en-US"/>
        </w:rPr>
        <w:t xml:space="preserve"> </w:t>
      </w:r>
      <w:r>
        <w:t>проведение</w:t>
      </w:r>
      <w:r w:rsidRPr="00342DAF">
        <w:rPr>
          <w:lang w:val="en-US"/>
        </w:rPr>
        <w:t xml:space="preserve"> </w:t>
      </w:r>
      <w:r>
        <w:t>центров</w:t>
      </w:r>
      <w:r w:rsidRPr="00342DAF">
        <w:rPr>
          <w:lang w:val="en-US"/>
        </w:rPr>
        <w:t xml:space="preserve"> </w:t>
      </w:r>
      <w:r>
        <w:t>оценки</w:t>
      </w:r>
      <w:r w:rsidRPr="00342DAF">
        <w:rPr>
          <w:lang w:val="en-US"/>
        </w:rPr>
        <w:t xml:space="preserve"> / Assessment Centers and Development Centers (ACDC)</w:t>
      </w:r>
    </w:p>
    <w:p w14:paraId="6522E18C" w14:textId="2FE4BC40" w:rsidR="001D5FA3" w:rsidRPr="00672041" w:rsidRDefault="00672041" w:rsidP="00342DAF">
      <w:pPr>
        <w:pStyle w:val="a"/>
        <w:rPr>
          <w:lang w:val="en-US"/>
        </w:rPr>
      </w:pPr>
      <w:r w:rsidRPr="00672041">
        <w:t>Интервью</w:t>
      </w:r>
      <w:r w:rsidRPr="00672041">
        <w:rPr>
          <w:lang w:val="en-US"/>
        </w:rPr>
        <w:t xml:space="preserve"> </w:t>
      </w:r>
      <w:r w:rsidRPr="00672041">
        <w:t>по</w:t>
      </w:r>
      <w:r w:rsidRPr="00672041">
        <w:rPr>
          <w:lang w:val="en-US"/>
        </w:rPr>
        <w:t xml:space="preserve"> </w:t>
      </w:r>
      <w:r w:rsidRPr="00672041">
        <w:t>компетенциям</w:t>
      </w:r>
      <w:r w:rsidRPr="00672041">
        <w:rPr>
          <w:lang w:val="en-US"/>
        </w:rPr>
        <w:t xml:space="preserve"> / Competency Based Interview (CBI</w:t>
      </w:r>
      <w:r w:rsidR="00293A05" w:rsidRPr="00672041">
        <w:rPr>
          <w:lang w:val="en-US"/>
        </w:rPr>
        <w:t>)</w:t>
      </w:r>
    </w:p>
    <w:p w14:paraId="03ED8BC1" w14:textId="7516C301" w:rsidR="001D5FA3" w:rsidRDefault="001D5FA3" w:rsidP="00C37F37">
      <w:pPr>
        <w:rPr>
          <w:lang w:val="en-US"/>
        </w:rPr>
      </w:pPr>
    </w:p>
    <w:p w14:paraId="054402D1" w14:textId="1D2CAC5F" w:rsidR="00672041" w:rsidRDefault="00672041" w:rsidP="00C37F37">
      <w:pPr>
        <w:rPr>
          <w:lang w:val="en-US"/>
        </w:rPr>
      </w:pPr>
    </w:p>
    <w:p w14:paraId="55DD84F0" w14:textId="77777777" w:rsidR="00672041" w:rsidRDefault="00672041" w:rsidP="00C37F37">
      <w:pPr>
        <w:rPr>
          <w:lang w:val="en-US"/>
        </w:rPr>
      </w:pPr>
    </w:p>
    <w:p w14:paraId="7723516A" w14:textId="77777777" w:rsidR="001D5FA3" w:rsidRDefault="001D5FA3" w:rsidP="00C37F37">
      <w:pPr>
        <w:rPr>
          <w:lang w:val="en-US"/>
        </w:rPr>
      </w:pPr>
    </w:p>
    <w:p w14:paraId="477270A1" w14:textId="77777777" w:rsidR="001D5FA3" w:rsidRDefault="001D5FA3" w:rsidP="00C37F37">
      <w:pPr>
        <w:rPr>
          <w:lang w:val="en-US"/>
        </w:rPr>
      </w:pPr>
    </w:p>
    <w:p w14:paraId="1784E8D7" w14:textId="0D8152E0" w:rsidR="001D5FA3" w:rsidRDefault="001D5FA3" w:rsidP="00C37F37">
      <w:pPr>
        <w:rPr>
          <w:lang w:val="en-US"/>
        </w:rPr>
      </w:pPr>
    </w:p>
    <w:p w14:paraId="35550975" w14:textId="1A589C2E" w:rsidR="00293A05" w:rsidRDefault="00293A05" w:rsidP="00C37F37">
      <w:pPr>
        <w:rPr>
          <w:lang w:val="en-US"/>
        </w:rPr>
      </w:pPr>
    </w:p>
    <w:p w14:paraId="546C5FE9" w14:textId="5CA84742" w:rsidR="00293A05" w:rsidRDefault="00293A05" w:rsidP="00C37F37">
      <w:pPr>
        <w:rPr>
          <w:lang w:val="en-US"/>
        </w:rPr>
      </w:pPr>
    </w:p>
    <w:p w14:paraId="3EC2921B" w14:textId="496BFB90" w:rsidR="00293A05" w:rsidRDefault="00293A05" w:rsidP="00C37F37">
      <w:pPr>
        <w:rPr>
          <w:lang w:val="en-US"/>
        </w:rPr>
      </w:pPr>
    </w:p>
    <w:p w14:paraId="4E9E906A" w14:textId="341708D4" w:rsidR="00293A05" w:rsidRDefault="00293A05" w:rsidP="00C37F37">
      <w:pPr>
        <w:rPr>
          <w:lang w:val="en-US"/>
        </w:rPr>
      </w:pPr>
    </w:p>
    <w:p w14:paraId="72BA6A14" w14:textId="748482E4" w:rsidR="00293A05" w:rsidRDefault="00293A05" w:rsidP="00C37F37">
      <w:pPr>
        <w:rPr>
          <w:lang w:val="en-US"/>
        </w:rPr>
      </w:pPr>
    </w:p>
    <w:p w14:paraId="1A9E47F6" w14:textId="77777777" w:rsidR="00293A05" w:rsidRDefault="00293A05" w:rsidP="00C37F37">
      <w:pPr>
        <w:rPr>
          <w:lang w:val="en-US"/>
        </w:rPr>
      </w:pPr>
    </w:p>
    <w:p w14:paraId="568AEF2F" w14:textId="77777777" w:rsidR="001D5FA3" w:rsidRDefault="001D5FA3" w:rsidP="00C37F37">
      <w:pPr>
        <w:rPr>
          <w:lang w:val="en-US"/>
        </w:rPr>
      </w:pPr>
    </w:p>
    <w:p w14:paraId="3E0663F2" w14:textId="6D9AF8E9" w:rsidR="001D5FA3" w:rsidRDefault="001D5FA3" w:rsidP="00C37F37">
      <w:pPr>
        <w:rPr>
          <w:lang w:val="en-US"/>
        </w:rPr>
      </w:pPr>
      <w:r w:rsidRPr="00C37F37">
        <w:rPr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B9D820" wp14:editId="3542E230">
                <wp:simplePos x="0" y="0"/>
                <wp:positionH relativeFrom="page">
                  <wp:posOffset>0</wp:posOffset>
                </wp:positionH>
                <wp:positionV relativeFrom="paragraph">
                  <wp:posOffset>358775</wp:posOffset>
                </wp:positionV>
                <wp:extent cx="7550150" cy="3061734"/>
                <wp:effectExtent l="0" t="0" r="0" b="57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0" cy="3061734"/>
                        </a:xfrm>
                        <a:prstGeom prst="rect">
                          <a:avLst/>
                        </a:prstGeom>
                        <a:solidFill>
                          <a:srgbClr val="70D4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3AA9E" id="Прямоугольник 1" o:spid="_x0000_s1026" style="position:absolute;margin-left:0;margin-top:28.25pt;width:594.5pt;height:24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" fillcolor="#70d44b" stroked="f" strokeweight="1pt">
                <w10:wrap anchorx="page"/>
              </v:rect>
            </w:pict>
          </mc:Fallback>
        </mc:AlternateContent>
      </w:r>
    </w:p>
    <w:p w14:paraId="000AB56F" w14:textId="7A8C2601" w:rsidR="00C37F37" w:rsidRPr="00DE7C3A" w:rsidRDefault="00C37F37" w:rsidP="00C37F37">
      <w:pPr>
        <w:rPr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0" w:type="dxa"/>
        </w:tblCellMar>
        <w:tblLook w:val="04A0" w:firstRow="1" w:lastRow="0" w:firstColumn="1" w:lastColumn="0" w:noHBand="0" w:noVBand="1"/>
      </w:tblPr>
      <w:tblGrid>
        <w:gridCol w:w="3969"/>
        <w:gridCol w:w="3828"/>
        <w:gridCol w:w="2323"/>
      </w:tblGrid>
      <w:tr w:rsidR="003F1BCF" w:rsidRPr="0043684E" w14:paraId="623205D1" w14:textId="77777777" w:rsidTr="00DE7C3A">
        <w:tc>
          <w:tcPr>
            <w:tcW w:w="3969" w:type="dxa"/>
          </w:tcPr>
          <w:p w14:paraId="76516F98" w14:textId="52FD434E" w:rsidR="00BE58EE" w:rsidRPr="00C37F37" w:rsidRDefault="00BE58EE" w:rsidP="00BE58EE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C37F37">
              <w:rPr>
                <w:b/>
                <w:bCs/>
                <w:color w:val="FFFFFF" w:themeColor="background1"/>
                <w:lang w:eastAsia="en-GB"/>
              </w:rPr>
              <w:t>Офис в Москве:</w:t>
            </w:r>
          </w:p>
        </w:tc>
        <w:tc>
          <w:tcPr>
            <w:tcW w:w="3828" w:type="dxa"/>
          </w:tcPr>
          <w:p w14:paraId="2D331361" w14:textId="3E3016A0" w:rsidR="00BE58EE" w:rsidRPr="00C37F37" w:rsidRDefault="00BE58EE" w:rsidP="00BE58EE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C37F37">
              <w:rPr>
                <w:b/>
                <w:bCs/>
                <w:color w:val="FFFFFF" w:themeColor="background1"/>
                <w:lang w:eastAsia="en-GB"/>
              </w:rPr>
              <w:t>Офис в Санкт-Петербурге:</w:t>
            </w:r>
          </w:p>
        </w:tc>
        <w:tc>
          <w:tcPr>
            <w:tcW w:w="2323" w:type="dxa"/>
          </w:tcPr>
          <w:p w14:paraId="1B7B3F24" w14:textId="77777777" w:rsidR="00BE58EE" w:rsidRPr="00C37F37" w:rsidRDefault="00BE58EE" w:rsidP="00BE58EE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C37F37">
              <w:rPr>
                <w:b/>
                <w:bCs/>
                <w:color w:val="FFFFFF" w:themeColor="background1"/>
                <w:lang w:eastAsia="en-GB"/>
              </w:rPr>
              <w:t>Офис в Казахстане:</w:t>
            </w:r>
          </w:p>
        </w:tc>
      </w:tr>
      <w:tr w:rsidR="003F1BCF" w:rsidRPr="00C02D56" w14:paraId="19913248" w14:textId="77777777" w:rsidTr="00DE7C3A">
        <w:tc>
          <w:tcPr>
            <w:tcW w:w="3969" w:type="dxa"/>
          </w:tcPr>
          <w:p w14:paraId="4D8DBFE0" w14:textId="382B1819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105082, Россия, Москва,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Спартаковский переулок, д. 2,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стр. 1, БЦ «Платформа», подъезд 8,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этаж 4, код домофона 41,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ст.м. «Красносельская»,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  <w:t xml:space="preserve">ст.м 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«Бауманская» </w:t>
            </w:r>
          </w:p>
          <w:p w14:paraId="60003F83" w14:textId="77777777" w:rsidR="000B57F2" w:rsidRPr="00C37F37" w:rsidRDefault="000B57F2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Тел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.: +7 (495) 646-75-16,  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Тел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>.: +7 926 351-42-75</w:t>
            </w:r>
          </w:p>
          <w:p w14:paraId="62BC8EF9" w14:textId="77777777" w:rsidR="00C02D56" w:rsidRPr="00C37F37" w:rsidRDefault="00C02D56" w:rsidP="007520F8">
            <w:pPr>
              <w:spacing w:after="120"/>
              <w:rPr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E-mail: </w:t>
            </w:r>
            <w:hyperlink r:id="rId10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shl@shl.ru</w:t>
              </w:r>
            </w:hyperlink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, 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br/>
            </w:r>
            <w:hyperlink r:id="rId11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customerservice@shl.ru</w:t>
              </w:r>
            </w:hyperlink>
          </w:p>
          <w:p w14:paraId="15F8CE5A" w14:textId="76C5DF3D" w:rsidR="00C02D56" w:rsidRPr="00C37F37" w:rsidRDefault="00C02D56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Сайт: </w:t>
            </w:r>
            <w:hyperlink r:id="rId12" w:history="1">
              <w:r w:rsidRPr="00C37F37">
                <w:rPr>
                  <w:rStyle w:val="aa"/>
                  <w:color w:val="FFFFFF" w:themeColor="background1"/>
                  <w:sz w:val="20"/>
                  <w:szCs w:val="20"/>
                  <w:lang w:val="en-US" w:eastAsia="en-GB"/>
                </w:rPr>
                <w:t>www.shl.ru</w:t>
              </w:r>
            </w:hyperlink>
          </w:p>
        </w:tc>
        <w:tc>
          <w:tcPr>
            <w:tcW w:w="3828" w:type="dxa"/>
          </w:tcPr>
          <w:p w14:paraId="0CFB7CE7" w14:textId="46BBE601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197136, Россия, Санкт-Петербург,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ул. Большая Морская, д. 24, </w:t>
            </w:r>
            <w:r w:rsidR="003F1BCF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литера А</w:t>
            </w:r>
            <w:r w:rsidR="003F1BCF"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, 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БЦ «Сенатор»,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офис 101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t>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ст.м. "Адмиралтейская"</w:t>
            </w:r>
          </w:p>
          <w:p w14:paraId="31737ED8" w14:textId="43F0E0B6" w:rsidR="000B57F2" w:rsidRPr="00C37F37" w:rsidRDefault="000B57F2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Тел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>.: +7 (812) 332-17-28</w:t>
            </w:r>
          </w:p>
          <w:p w14:paraId="1766BE2F" w14:textId="77777777" w:rsidR="000B57F2" w:rsidRPr="00C37F37" w:rsidRDefault="00C02D56" w:rsidP="007520F8">
            <w:pPr>
              <w:spacing w:after="120"/>
              <w:rPr>
                <w:rStyle w:val="aa"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E-mail: </w:t>
            </w:r>
            <w:hyperlink r:id="rId13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shl_spb@shl.ru</w:t>
              </w:r>
            </w:hyperlink>
          </w:p>
          <w:p w14:paraId="65B6AD1F" w14:textId="5B9ACBAB" w:rsidR="00C02D56" w:rsidRPr="00C37F37" w:rsidRDefault="00C02D56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Сайт: </w:t>
            </w:r>
            <w:hyperlink r:id="rId14" w:history="1">
              <w:r w:rsidRPr="00C37F37">
                <w:rPr>
                  <w:rStyle w:val="aa"/>
                  <w:color w:val="FFFFFF" w:themeColor="background1"/>
                  <w:sz w:val="20"/>
                  <w:szCs w:val="20"/>
                  <w:lang w:val="en-US" w:eastAsia="en-GB"/>
                </w:rPr>
                <w:t>www.shl.ru</w:t>
              </w:r>
            </w:hyperlink>
          </w:p>
        </w:tc>
        <w:tc>
          <w:tcPr>
            <w:tcW w:w="2323" w:type="dxa"/>
          </w:tcPr>
          <w:p w14:paraId="2C1C6F1B" w14:textId="77777777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Казахстан, Алматы</w:t>
            </w:r>
          </w:p>
          <w:p w14:paraId="19FABEE4" w14:textId="77777777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ул. Жандосова, 98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t>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БЦ «Навои Тауэрс»,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офис 415 </w:t>
            </w:r>
          </w:p>
          <w:p w14:paraId="62ECB0E6" w14:textId="77777777" w:rsidR="000B57F2" w:rsidRPr="00C37F37" w:rsidRDefault="000B57F2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>Тел.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: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 +7 727 334-10-05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br/>
              <w:t>Тел.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: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 +7 727 334-10-06</w:t>
            </w:r>
          </w:p>
          <w:p w14:paraId="34936CDE" w14:textId="77777777" w:rsidR="00C02D56" w:rsidRPr="00C37F37" w:rsidRDefault="00C02D56" w:rsidP="007520F8">
            <w:pPr>
              <w:spacing w:after="120"/>
              <w:rPr>
                <w:rStyle w:val="aa"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E-mail: </w:t>
            </w:r>
            <w:hyperlink r:id="rId15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shl@shl.kz</w:t>
              </w:r>
            </w:hyperlink>
          </w:p>
          <w:p w14:paraId="529AD95A" w14:textId="16C44BA8" w:rsidR="00C02D56" w:rsidRPr="00C37F37" w:rsidRDefault="00C02D56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Сайт: </w:t>
            </w:r>
            <w:hyperlink r:id="rId16" w:history="1">
              <w:r w:rsidRPr="00C37F37">
                <w:rPr>
                  <w:rStyle w:val="aa"/>
                  <w:color w:val="FFFFFF" w:themeColor="background1"/>
                  <w:sz w:val="20"/>
                  <w:szCs w:val="20"/>
                  <w:lang w:val="en-US" w:eastAsia="en-GB"/>
                </w:rPr>
                <w:t>www.shl.kz</w:t>
              </w:r>
            </w:hyperlink>
          </w:p>
        </w:tc>
      </w:tr>
    </w:tbl>
    <w:p w14:paraId="7FB8F9BB" w14:textId="77777777" w:rsidR="00BE58EE" w:rsidRPr="00DD4947" w:rsidRDefault="00BE58EE" w:rsidP="003433B7">
      <w:pPr>
        <w:rPr>
          <w:lang w:val="en-US"/>
        </w:rPr>
      </w:pPr>
    </w:p>
    <w:sectPr w:rsidR="00BE58EE" w:rsidRPr="00DD4947" w:rsidSect="00064946">
      <w:pgSz w:w="11906" w:h="16838"/>
      <w:pgMar w:top="0" w:right="720" w:bottom="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2691" w14:textId="77777777" w:rsidR="00F81F1D" w:rsidRDefault="00F81F1D" w:rsidP="00A12D12">
      <w:r>
        <w:separator/>
      </w:r>
    </w:p>
  </w:endnote>
  <w:endnote w:type="continuationSeparator" w:id="0">
    <w:p w14:paraId="754539F1" w14:textId="77777777" w:rsidR="00F81F1D" w:rsidRDefault="00F81F1D" w:rsidP="00A1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260D" w14:textId="77777777" w:rsidR="00F81F1D" w:rsidRDefault="00F81F1D" w:rsidP="00A12D12">
      <w:r>
        <w:separator/>
      </w:r>
    </w:p>
  </w:footnote>
  <w:footnote w:type="continuationSeparator" w:id="0">
    <w:p w14:paraId="5A3AEB3C" w14:textId="77777777" w:rsidR="00F81F1D" w:rsidRDefault="00F81F1D" w:rsidP="00A1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2E6C"/>
    <w:multiLevelType w:val="hybridMultilevel"/>
    <w:tmpl w:val="1FA8D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187A10"/>
    <w:multiLevelType w:val="hybridMultilevel"/>
    <w:tmpl w:val="D25E0C04"/>
    <w:lvl w:ilvl="0" w:tplc="4D7CE65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C5631"/>
    <w:multiLevelType w:val="hybridMultilevel"/>
    <w:tmpl w:val="540EFC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574011">
    <w:abstractNumId w:val="1"/>
  </w:num>
  <w:num w:numId="2" w16cid:durableId="785736912">
    <w:abstractNumId w:val="0"/>
  </w:num>
  <w:num w:numId="3" w16cid:durableId="1709912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68"/>
    <w:rsid w:val="00064946"/>
    <w:rsid w:val="000B57F2"/>
    <w:rsid w:val="001C1071"/>
    <w:rsid w:val="001D5FA3"/>
    <w:rsid w:val="001E1268"/>
    <w:rsid w:val="002436C8"/>
    <w:rsid w:val="00293A05"/>
    <w:rsid w:val="00342DAF"/>
    <w:rsid w:val="003433B7"/>
    <w:rsid w:val="00365A42"/>
    <w:rsid w:val="003E1E2E"/>
    <w:rsid w:val="003F1BCF"/>
    <w:rsid w:val="00523003"/>
    <w:rsid w:val="005A0E64"/>
    <w:rsid w:val="00672041"/>
    <w:rsid w:val="006C4347"/>
    <w:rsid w:val="007520F8"/>
    <w:rsid w:val="007B1520"/>
    <w:rsid w:val="00913611"/>
    <w:rsid w:val="00952A35"/>
    <w:rsid w:val="00A12D12"/>
    <w:rsid w:val="00A27D9B"/>
    <w:rsid w:val="00A87D23"/>
    <w:rsid w:val="00AF7C48"/>
    <w:rsid w:val="00BE58EE"/>
    <w:rsid w:val="00C02D56"/>
    <w:rsid w:val="00C15B87"/>
    <w:rsid w:val="00C30FA7"/>
    <w:rsid w:val="00C37F37"/>
    <w:rsid w:val="00C56BEC"/>
    <w:rsid w:val="00C86229"/>
    <w:rsid w:val="00DD4947"/>
    <w:rsid w:val="00DE7C3A"/>
    <w:rsid w:val="00DF0654"/>
    <w:rsid w:val="00DF1213"/>
    <w:rsid w:val="00E00C36"/>
    <w:rsid w:val="00F5658A"/>
    <w:rsid w:val="00F8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ED65"/>
  <w15:chartTrackingRefBased/>
  <w15:docId w15:val="{471C15D8-581A-4C33-B4CC-08C7EFB5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12D12"/>
    <w:rPr>
      <w:rFonts w:ascii="Arial" w:hAnsi="Arial" w:cs="Arial"/>
      <w:noProof/>
    </w:rPr>
  </w:style>
  <w:style w:type="paragraph" w:styleId="1">
    <w:name w:val="heading 1"/>
    <w:basedOn w:val="a0"/>
    <w:next w:val="a0"/>
    <w:link w:val="10"/>
    <w:uiPriority w:val="9"/>
    <w:qFormat/>
    <w:rsid w:val="006C4347"/>
    <w:pPr>
      <w:outlineLvl w:val="0"/>
    </w:pPr>
    <w:rPr>
      <w:b/>
      <w:bCs/>
      <w:color w:val="70D44B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43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436C8"/>
  </w:style>
  <w:style w:type="paragraph" w:styleId="a6">
    <w:name w:val="footer"/>
    <w:basedOn w:val="a0"/>
    <w:link w:val="a7"/>
    <w:uiPriority w:val="99"/>
    <w:unhideWhenUsed/>
    <w:rsid w:val="00243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436C8"/>
  </w:style>
  <w:style w:type="character" w:customStyle="1" w:styleId="10">
    <w:name w:val="Заголовок 1 Знак"/>
    <w:basedOn w:val="a1"/>
    <w:link w:val="1"/>
    <w:uiPriority w:val="9"/>
    <w:rsid w:val="006C4347"/>
    <w:rPr>
      <w:rFonts w:ascii="Arial" w:hAnsi="Arial" w:cs="Arial"/>
      <w:b/>
      <w:bCs/>
      <w:noProof/>
      <w:color w:val="70D44B"/>
      <w:sz w:val="26"/>
      <w:szCs w:val="26"/>
    </w:rPr>
  </w:style>
  <w:style w:type="paragraph" w:styleId="a8">
    <w:name w:val="List Paragraph"/>
    <w:basedOn w:val="a0"/>
    <w:uiPriority w:val="34"/>
    <w:qFormat/>
    <w:rsid w:val="007B1520"/>
    <w:pPr>
      <w:ind w:left="720"/>
      <w:contextualSpacing/>
    </w:pPr>
  </w:style>
  <w:style w:type="paragraph" w:styleId="a">
    <w:name w:val="No Spacing"/>
    <w:aliases w:val="Маркеры"/>
    <w:basedOn w:val="a8"/>
    <w:uiPriority w:val="1"/>
    <w:qFormat/>
    <w:rsid w:val="00C30FA7"/>
    <w:pPr>
      <w:numPr>
        <w:numId w:val="1"/>
      </w:numPr>
      <w:spacing w:after="60"/>
      <w:ind w:left="284" w:hanging="284"/>
      <w:contextualSpacing w:val="0"/>
    </w:pPr>
  </w:style>
  <w:style w:type="table" w:styleId="3-1">
    <w:name w:val="Medium Grid 3 Accent 1"/>
    <w:basedOn w:val="a2"/>
    <w:uiPriority w:val="69"/>
    <w:rsid w:val="00C86229"/>
    <w:pPr>
      <w:spacing w:after="0" w:line="240" w:lineRule="auto"/>
    </w:pPr>
    <w:rPr>
      <w:rFonts w:ascii="Arial" w:eastAsia="MS PGothic" w:hAnsi="Arial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a9">
    <w:name w:val="Table Grid"/>
    <w:basedOn w:val="a2"/>
    <w:uiPriority w:val="59"/>
    <w:rsid w:val="00C8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rsid w:val="00DD4947"/>
    <w:rPr>
      <w:color w:val="0563C1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DD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l@shl.ru" TargetMode="External"/><Relationship Id="rId13" Type="http://schemas.openxmlformats.org/officeDocument/2006/relationships/hyperlink" Target="mailto:shl_spb@sh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h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hl.k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stomerservice@sh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l@shl.kz" TargetMode="External"/><Relationship Id="rId10" Type="http://schemas.openxmlformats.org/officeDocument/2006/relationships/hyperlink" Target="mailto:shl@sh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stomerservice@shl.ru" TargetMode="External"/><Relationship Id="rId14" Type="http://schemas.openxmlformats.org/officeDocument/2006/relationships/hyperlink" Target="http://www.sh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Норватова</dc:creator>
  <cp:keywords/>
  <dc:description/>
  <cp:lastModifiedBy>Мария Норватова</cp:lastModifiedBy>
  <cp:revision>3</cp:revision>
  <dcterms:created xsi:type="dcterms:W3CDTF">2022-08-15T11:31:00Z</dcterms:created>
  <dcterms:modified xsi:type="dcterms:W3CDTF">2022-08-15T11:57:00Z</dcterms:modified>
</cp:coreProperties>
</file>